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Standard"/>
        <w:jc w:val="right"/>
        <w:rPr>
          <w:rFonts w:cs="Times New Roman"/>
          <w:b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drawing>
          <wp:anchor behindDoc="0" distT="0" distB="0" distL="114935" distR="114935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5080</wp:posOffset>
            </wp:positionV>
            <wp:extent cx="6119495" cy="533400"/>
            <wp:effectExtent l="0" t="0" r="0" b="0"/>
            <wp:wrapSquare wrapText="bothSides"/>
            <wp:docPr id="1" name="Obraz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andard"/>
        <w:jc w:val="right"/>
        <w:rPr>
          <w:rFonts w:ascii="Calibri" w:hAnsi="Calibri" w:cs="Times New Roman"/>
          <w:b/>
          <w:b/>
          <w:sz w:val="20"/>
          <w:szCs w:val="20"/>
          <w:lang w:val="pl-PL"/>
        </w:rPr>
      </w:pPr>
      <w:r>
        <w:rPr>
          <w:rFonts w:cs="Times New Roman" w:ascii="Calibri" w:hAnsi="Calibri"/>
          <w:b/>
          <w:sz w:val="20"/>
          <w:szCs w:val="20"/>
          <w:lang w:val="pl-PL"/>
        </w:rPr>
        <w:t xml:space="preserve">Załącznik nr </w:t>
      </w:r>
      <w:r>
        <w:rPr>
          <w:rFonts w:cs="Times New Roman" w:ascii="Calibri" w:hAnsi="Calibri"/>
          <w:b/>
          <w:sz w:val="20"/>
          <w:szCs w:val="20"/>
          <w:lang w:val="pl-PL"/>
        </w:rPr>
        <w:t>3</w:t>
      </w:r>
    </w:p>
    <w:p>
      <w:pPr>
        <w:pStyle w:val="Standard"/>
        <w:jc w:val="right"/>
        <w:rPr>
          <w:rFonts w:ascii="Calibri" w:hAnsi="Calibri" w:cs="Times New Roman"/>
          <w:b/>
          <w:b/>
          <w:sz w:val="20"/>
          <w:szCs w:val="20"/>
          <w:lang w:val="pl-PL"/>
        </w:rPr>
      </w:pPr>
      <w:r>
        <w:rPr>
          <w:rFonts w:cs="Times New Roman" w:ascii="Calibri" w:hAnsi="Calibri"/>
          <w:b/>
          <w:sz w:val="20"/>
          <w:szCs w:val="20"/>
          <w:lang w:val="pl-PL"/>
        </w:rPr>
      </w:r>
    </w:p>
    <w:p>
      <w:pPr>
        <w:pStyle w:val="Standard"/>
        <w:jc w:val="center"/>
        <w:rPr>
          <w:rFonts w:ascii="Calibri" w:hAnsi="Calibri"/>
          <w:sz w:val="20"/>
          <w:szCs w:val="20"/>
        </w:rPr>
      </w:pPr>
      <w:r>
        <w:rPr>
          <w:rFonts w:cs="Times New Roman" w:ascii="Calibri" w:hAnsi="Calibri"/>
          <w:b/>
          <w:bCs/>
          <w:sz w:val="20"/>
          <w:szCs w:val="20"/>
          <w:lang w:val="pl-PL"/>
        </w:rPr>
        <w:t xml:space="preserve">Zbiorcze zestawienie kosztów </w:t>
      </w:r>
    </w:p>
    <w:p>
      <w:pPr>
        <w:pStyle w:val="Standard"/>
        <w:jc w:val="center"/>
        <w:rPr>
          <w:rFonts w:ascii="Calibri" w:hAnsi="Calibri" w:cs="Times New Roman"/>
          <w:b/>
          <w:b/>
          <w:bCs/>
          <w:sz w:val="20"/>
          <w:szCs w:val="20"/>
          <w:lang w:val="pl-PL"/>
        </w:rPr>
      </w:pPr>
      <w:r>
        <w:rPr>
          <w:rFonts w:cs="Times New Roman" w:ascii="Calibri" w:hAnsi="Calibri"/>
          <w:b/>
          <w:bCs/>
          <w:sz w:val="20"/>
          <w:szCs w:val="20"/>
          <w:lang w:val="pl-PL"/>
        </w:rPr>
      </w:r>
    </w:p>
    <w:tbl>
      <w:tblPr>
        <w:tblW w:w="9638" w:type="dxa"/>
        <w:jc w:val="left"/>
        <w:tblInd w:w="-13" w:type="dxa"/>
        <w:tblLayout w:type="fixed"/>
        <w:tblCellMar>
          <w:top w:w="0" w:type="dxa"/>
          <w:left w:w="2" w:type="dxa"/>
          <w:bottom w:w="0" w:type="dxa"/>
          <w:right w:w="6" w:type="dxa"/>
        </w:tblCellMar>
        <w:tblLook w:firstRow="0" w:noVBand="0" w:lastRow="0" w:firstColumn="0" w:lastColumn="0" w:noHBand="0" w:val="0000"/>
      </w:tblPr>
      <w:tblGrid>
        <w:gridCol w:w="450"/>
        <w:gridCol w:w="4937"/>
        <w:gridCol w:w="1837"/>
        <w:gridCol w:w="1"/>
        <w:gridCol w:w="2412"/>
      </w:tblGrid>
      <w:tr>
        <w:trPr/>
        <w:tc>
          <w:tcPr>
            <w:tcW w:w="45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  <w:t>L.P.</w:t>
            </w:r>
          </w:p>
        </w:tc>
        <w:tc>
          <w:tcPr>
            <w:tcW w:w="493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  <w:t xml:space="preserve">Zakres realizacyjny </w:t>
            </w:r>
          </w:p>
        </w:tc>
        <w:tc>
          <w:tcPr>
            <w:tcW w:w="425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  <w:t>Koszt</w:t>
            </w:r>
          </w:p>
        </w:tc>
      </w:tr>
      <w:tr>
        <w:trPr/>
        <w:tc>
          <w:tcPr>
            <w:tcW w:w="45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493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Calibri" w:hAnsi="Calibri" w:cs="Times New Roman"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sz w:val="20"/>
                <w:szCs w:val="20"/>
                <w:lang w:val="pl-PL"/>
              </w:rPr>
            </w:r>
          </w:p>
        </w:tc>
        <w:tc>
          <w:tcPr>
            <w:tcW w:w="183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  <w:szCs w:val="20"/>
                <w:lang w:val="pl-PL"/>
              </w:rPr>
              <w:t xml:space="preserve"> </w:t>
            </w: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  <w:t>netto</w:t>
            </w:r>
          </w:p>
        </w:tc>
        <w:tc>
          <w:tcPr>
            <w:tcW w:w="24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  <w:t>brutto</w:t>
            </w:r>
          </w:p>
        </w:tc>
      </w:tr>
      <w:tr>
        <w:trPr>
          <w:trHeight w:val="784" w:hRule="atLeas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  <w:t>1.</w:t>
            </w:r>
          </w:p>
          <w:p>
            <w:pPr>
              <w:pStyle w:val="Zawartotabeli"/>
              <w:widowControl w:val="false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49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  <w:t xml:space="preserve">Prace projektowe </w:t>
            </w:r>
          </w:p>
          <w:p>
            <w:pPr>
              <w:pStyle w:val="Zawartotabeli"/>
              <w:widowControl w:val="false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83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24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sz w:val="20"/>
                <w:szCs w:val="20"/>
                <w:lang w:val="pl-PL"/>
              </w:rPr>
            </w:r>
          </w:p>
        </w:tc>
      </w:tr>
      <w:tr>
        <w:trPr>
          <w:trHeight w:val="792" w:hRule="atLeas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  <w:t>2.</w:t>
            </w:r>
          </w:p>
        </w:tc>
        <w:tc>
          <w:tcPr>
            <w:tcW w:w="49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  <w:t xml:space="preserve">Roboty budowlane: </w:t>
            </w:r>
          </w:p>
        </w:tc>
        <w:tc>
          <w:tcPr>
            <w:tcW w:w="183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24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sz w:val="20"/>
                <w:szCs w:val="20"/>
                <w:lang w:val="pl-PL"/>
              </w:rPr>
            </w:r>
          </w:p>
        </w:tc>
      </w:tr>
      <w:tr>
        <w:trPr>
          <w:trHeight w:val="450" w:hRule="atLeast"/>
        </w:trPr>
        <w:tc>
          <w:tcPr>
            <w:tcW w:w="450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4937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  <w:t>Roboty rozbiórkowe</w:t>
            </w:r>
          </w:p>
        </w:tc>
        <w:tc>
          <w:tcPr>
            <w:tcW w:w="183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241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sz w:val="20"/>
                <w:szCs w:val="20"/>
                <w:lang w:val="pl-PL"/>
              </w:rPr>
            </w:r>
          </w:p>
        </w:tc>
      </w:tr>
      <w:tr>
        <w:trPr>
          <w:trHeight w:val="738" w:hRule="atLeast"/>
        </w:trPr>
        <w:tc>
          <w:tcPr>
            <w:tcW w:w="450" w:type="dxa"/>
            <w:vMerge w:val="continue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4937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jc w:val="left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  <w:t xml:space="preserve">Wykonanie przypór kamiennych murów oporowych </w:t>
            </w:r>
          </w:p>
          <w:p>
            <w:pPr>
              <w:pStyle w:val="Zawartotabeli"/>
              <w:widowControl w:val="false"/>
              <w:snapToGrid w:val="false"/>
              <w:jc w:val="left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  <w:t xml:space="preserve">z koszy gabionowych wraz z fundamentowaniem pośrednim  </w:t>
            </w:r>
          </w:p>
        </w:tc>
        <w:tc>
          <w:tcPr>
            <w:tcW w:w="183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241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sz w:val="20"/>
                <w:szCs w:val="20"/>
                <w:lang w:val="pl-PL"/>
              </w:rPr>
            </w:r>
          </w:p>
        </w:tc>
      </w:tr>
      <w:tr>
        <w:trPr>
          <w:trHeight w:val="490" w:hRule="atLeast"/>
        </w:trPr>
        <w:tc>
          <w:tcPr>
            <w:tcW w:w="450" w:type="dxa"/>
            <w:vMerge w:val="continue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4937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jc w:val="left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  <w:t xml:space="preserve">Wykonanie drenażu istniejących murów oporowych </w:t>
            </w:r>
          </w:p>
          <w:p>
            <w:pPr>
              <w:pStyle w:val="Zawartotabeli"/>
              <w:widowControl w:val="false"/>
              <w:snapToGrid w:val="false"/>
              <w:jc w:val="left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  <w:t xml:space="preserve">i </w:t>
            </w:r>
            <w:r>
              <w:rPr>
                <w:rFonts w:eastAsia="Andale Sans UI" w:cs="Times New Roman" w:ascii="Calibri" w:hAnsi="Calibri"/>
                <w:b/>
                <w:bCs/>
                <w:color w:val="00000A"/>
                <w:kern w:val="0"/>
                <w:sz w:val="20"/>
                <w:szCs w:val="20"/>
                <w:lang w:val="pl-PL" w:eastAsia="zh-CN" w:bidi="en-US"/>
              </w:rPr>
              <w:t>działek</w:t>
            </w: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  <w:t xml:space="preserve"> strefy</w:t>
            </w:r>
          </w:p>
        </w:tc>
        <w:tc>
          <w:tcPr>
            <w:tcW w:w="183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241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sz w:val="20"/>
                <w:szCs w:val="20"/>
                <w:lang w:val="pl-PL"/>
              </w:rPr>
            </w:r>
          </w:p>
        </w:tc>
      </w:tr>
      <w:tr>
        <w:trPr>
          <w:trHeight w:val="393" w:hRule="atLeast"/>
        </w:trPr>
        <w:tc>
          <w:tcPr>
            <w:tcW w:w="450" w:type="dxa"/>
            <w:vMerge w:val="continue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4937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jc w:val="left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eastAsia="Andale Sans UI" w:cs="Times New Roman" w:ascii="Calibri" w:hAnsi="Calibri"/>
                <w:b/>
                <w:bCs/>
                <w:color w:val="00000A"/>
                <w:kern w:val="0"/>
                <w:sz w:val="20"/>
                <w:szCs w:val="20"/>
                <w:lang w:val="pl-PL" w:eastAsia="zh-CN" w:bidi="en-US"/>
              </w:rPr>
              <w:t>Odbudowa</w:t>
            </w: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  <w:t xml:space="preserve"> przykanalików</w:t>
            </w:r>
          </w:p>
          <w:p>
            <w:pPr>
              <w:pStyle w:val="Zawartotabeli"/>
              <w:widowControl w:val="false"/>
              <w:snapToGrid w:val="false"/>
              <w:jc w:val="left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83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241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sz w:val="20"/>
                <w:szCs w:val="20"/>
                <w:lang w:val="pl-PL"/>
              </w:rPr>
            </w:r>
          </w:p>
        </w:tc>
      </w:tr>
      <w:tr>
        <w:trPr>
          <w:trHeight w:val="501" w:hRule="atLeast"/>
        </w:trPr>
        <w:tc>
          <w:tcPr>
            <w:tcW w:w="450" w:type="dxa"/>
            <w:vMerge w:val="continue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4937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jc w:val="left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  <w:t>Odbudowa odcinka drogi</w:t>
            </w:r>
          </w:p>
        </w:tc>
        <w:tc>
          <w:tcPr>
            <w:tcW w:w="183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241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sz w:val="20"/>
                <w:szCs w:val="20"/>
                <w:lang w:val="pl-PL"/>
              </w:rPr>
            </w:r>
          </w:p>
        </w:tc>
      </w:tr>
      <w:tr>
        <w:trPr>
          <w:trHeight w:val="500" w:hRule="atLeast"/>
        </w:trPr>
        <w:tc>
          <w:tcPr>
            <w:tcW w:w="450" w:type="dxa"/>
            <w:vMerge w:val="continue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4937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jc w:val="left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  <w:t>Odbudowa ciągu pieszo - rowerowego</w:t>
            </w:r>
          </w:p>
        </w:tc>
        <w:tc>
          <w:tcPr>
            <w:tcW w:w="183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241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sz w:val="20"/>
                <w:szCs w:val="20"/>
                <w:lang w:val="pl-PL"/>
              </w:rPr>
            </w:r>
          </w:p>
        </w:tc>
      </w:tr>
      <w:tr>
        <w:trPr>
          <w:trHeight w:val="463" w:hRule="atLeast"/>
        </w:trPr>
        <w:tc>
          <w:tcPr>
            <w:tcW w:w="450" w:type="dxa"/>
            <w:vMerge w:val="continue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4937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jc w:val="left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  <w:t>Odbudowa zjazdów</w:t>
            </w:r>
          </w:p>
        </w:tc>
        <w:tc>
          <w:tcPr>
            <w:tcW w:w="183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241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sz w:val="20"/>
                <w:szCs w:val="20"/>
                <w:lang w:val="pl-PL"/>
              </w:rPr>
            </w:r>
          </w:p>
        </w:tc>
      </w:tr>
      <w:tr>
        <w:trPr>
          <w:trHeight w:val="512" w:hRule="atLeast"/>
        </w:trPr>
        <w:tc>
          <w:tcPr>
            <w:tcW w:w="450" w:type="dxa"/>
            <w:vMerge w:val="continue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4937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jc w:val="left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  <w:t>Wykonanie poręczy ochronnych</w:t>
            </w:r>
          </w:p>
        </w:tc>
        <w:tc>
          <w:tcPr>
            <w:tcW w:w="183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241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sz w:val="20"/>
                <w:szCs w:val="20"/>
                <w:lang w:val="pl-PL"/>
              </w:rPr>
            </w:r>
          </w:p>
        </w:tc>
      </w:tr>
      <w:tr>
        <w:trPr>
          <w:trHeight w:val="383" w:hRule="atLeast"/>
        </w:trPr>
        <w:tc>
          <w:tcPr>
            <w:tcW w:w="450" w:type="dxa"/>
            <w:vMerge w:val="continue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4937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jc w:val="left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  <w:t>Wykonanie makroniwelacji</w:t>
            </w:r>
          </w:p>
          <w:p>
            <w:pPr>
              <w:pStyle w:val="Zawartotabeli"/>
              <w:widowControl w:val="false"/>
              <w:snapToGrid w:val="false"/>
              <w:jc w:val="left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83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241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sz w:val="20"/>
                <w:szCs w:val="20"/>
                <w:lang w:val="pl-PL"/>
              </w:rPr>
            </w:r>
          </w:p>
        </w:tc>
      </w:tr>
      <w:tr>
        <w:trPr>
          <w:trHeight w:val="321" w:hRule="atLeast"/>
        </w:trPr>
        <w:tc>
          <w:tcPr>
            <w:tcW w:w="538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  <w:t>Razem wartość zamówienia</w:t>
            </w:r>
          </w:p>
        </w:tc>
        <w:tc>
          <w:tcPr>
            <w:tcW w:w="18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24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sz w:val="20"/>
                <w:szCs w:val="20"/>
                <w:lang w:val="pl-PL"/>
              </w:rPr>
            </w:pPr>
            <w:r>
              <w:rPr>
                <w:rFonts w:cs="Times New Roman" w:ascii="Calibri" w:hAnsi="Calibri"/>
                <w:sz w:val="20"/>
                <w:szCs w:val="20"/>
                <w:lang w:val="pl-PL"/>
              </w:rPr>
            </w:r>
          </w:p>
        </w:tc>
      </w:tr>
    </w:tbl>
    <w:p>
      <w:pPr>
        <w:pStyle w:val="Standard"/>
        <w:rPr>
          <w:rFonts w:cs="Times New Roman"/>
          <w:sz w:val="22"/>
          <w:szCs w:val="22"/>
          <w:lang w:val="pl-PL"/>
        </w:rPr>
      </w:pPr>
      <w:r>
        <w:rPr>
          <w:rFonts w:cs="Times New Roman"/>
          <w:sz w:val="22"/>
          <w:szCs w:val="22"/>
          <w:lang w:val="pl-PL"/>
        </w:rPr>
      </w:r>
    </w:p>
    <w:p>
      <w:pPr>
        <w:pStyle w:val="Standard"/>
        <w:rPr>
          <w:rFonts w:ascii="Calibri" w:hAnsi="Calibri" w:cs="Times New Roman"/>
          <w:sz w:val="22"/>
          <w:szCs w:val="22"/>
          <w:lang w:val="pl-PL"/>
        </w:rPr>
      </w:pPr>
      <w:r>
        <w:rPr>
          <w:rFonts w:cs="Times New Roman" w:ascii="Calibri" w:hAnsi="Calibri"/>
          <w:sz w:val="22"/>
          <w:szCs w:val="22"/>
          <w:lang w:val="pl-PL"/>
        </w:rPr>
      </w:r>
    </w:p>
    <w:p>
      <w:pPr>
        <w:pStyle w:val="Standard"/>
        <w:rPr>
          <w:rFonts w:ascii="Calibri" w:hAnsi="Calibri"/>
          <w:sz w:val="20"/>
          <w:szCs w:val="20"/>
        </w:rPr>
      </w:pPr>
      <w:r>
        <w:rPr>
          <w:rFonts w:cs="Times New Roman" w:ascii="Calibri" w:hAnsi="Calibri"/>
          <w:b/>
          <w:bCs/>
          <w:sz w:val="20"/>
          <w:szCs w:val="20"/>
          <w:lang w:val="pl-PL"/>
        </w:rPr>
        <w:t>Składniki cenotwórcze:</w:t>
      </w:r>
    </w:p>
    <w:p>
      <w:pPr>
        <w:pStyle w:val="Standard"/>
        <w:rPr>
          <w:rFonts w:ascii="Calibri" w:hAnsi="Calibri" w:cs="Times New Roman"/>
          <w:b/>
          <w:b/>
          <w:bCs/>
          <w:sz w:val="20"/>
          <w:szCs w:val="20"/>
          <w:lang w:val="pl-PL"/>
        </w:rPr>
      </w:pPr>
      <w:r>
        <w:rPr>
          <w:rFonts w:cs="Times New Roman" w:ascii="Calibri" w:hAnsi="Calibri"/>
          <w:b/>
          <w:bCs/>
          <w:sz w:val="20"/>
          <w:szCs w:val="20"/>
          <w:lang w:val="pl-PL"/>
        </w:rPr>
      </w:r>
    </w:p>
    <w:p>
      <w:pPr>
        <w:pStyle w:val="Standard"/>
        <w:rPr>
          <w:rFonts w:ascii="Calibri" w:hAnsi="Calibri"/>
          <w:sz w:val="20"/>
          <w:szCs w:val="20"/>
        </w:rPr>
      </w:pPr>
      <w:r>
        <w:rPr>
          <w:rFonts w:cs="Times New Roman" w:ascii="Calibri" w:hAnsi="Calibri"/>
          <w:sz w:val="20"/>
          <w:szCs w:val="20"/>
          <w:lang w:val="pl-PL"/>
        </w:rPr>
        <w:t>Stawka roboczo-godziny (R): ...........................</w:t>
      </w:r>
    </w:p>
    <w:p>
      <w:pPr>
        <w:pStyle w:val="Standard"/>
        <w:rPr>
          <w:rFonts w:ascii="Calibri" w:hAnsi="Calibri"/>
          <w:sz w:val="20"/>
          <w:szCs w:val="20"/>
        </w:rPr>
      </w:pPr>
      <w:r>
        <w:rPr>
          <w:rFonts w:cs="Times New Roman" w:ascii="Calibri" w:hAnsi="Calibri"/>
          <w:sz w:val="20"/>
          <w:szCs w:val="20"/>
          <w:lang w:val="pl-PL"/>
        </w:rPr>
        <w:t>Koszty pośrednie (Kp): .....................................</w:t>
      </w:r>
    </w:p>
    <w:p>
      <w:pPr>
        <w:pStyle w:val="Standard"/>
        <w:rPr>
          <w:rFonts w:ascii="Calibri" w:hAnsi="Calibri"/>
          <w:sz w:val="20"/>
          <w:szCs w:val="20"/>
        </w:rPr>
      </w:pPr>
      <w:r>
        <w:rPr>
          <w:rFonts w:cs="Times New Roman" w:ascii="Calibri" w:hAnsi="Calibri"/>
          <w:sz w:val="20"/>
          <w:szCs w:val="20"/>
          <w:lang w:val="pl-PL"/>
        </w:rPr>
        <w:t>Zysk (Z): ...........................................................</w:t>
      </w:r>
    </w:p>
    <w:p>
      <w:pPr>
        <w:pStyle w:val="Standard"/>
        <w:rPr>
          <w:rFonts w:ascii="Calibri" w:hAnsi="Calibri" w:cs="Calibri"/>
          <w:sz w:val="20"/>
          <w:szCs w:val="20"/>
          <w:lang w:val="pl-PL"/>
        </w:rPr>
      </w:pPr>
      <w:r>
        <w:rPr>
          <w:rFonts w:cs="Calibri" w:ascii="Calibri" w:hAnsi="Calibri"/>
          <w:sz w:val="20"/>
          <w:szCs w:val="20"/>
          <w:lang w:val="pl-PL"/>
        </w:rPr>
      </w:r>
    </w:p>
    <w:p>
      <w:pPr>
        <w:pStyle w:val="Standard"/>
        <w:rPr>
          <w:rFonts w:ascii="Calibri" w:hAnsi="Calibri" w:cs="Calibri"/>
          <w:sz w:val="20"/>
          <w:szCs w:val="20"/>
          <w:lang w:val="pl-PL" w:eastAsia="zh-CN" w:bidi="en-US"/>
        </w:rPr>
      </w:pPr>
      <w:r>
        <w:rPr>
          <w:rFonts w:cs="Calibri" w:ascii="Calibri" w:hAnsi="Calibri"/>
          <w:sz w:val="20"/>
          <w:szCs w:val="20"/>
          <w:lang w:val="pl-PL" w:eastAsia="zh-CN" w:bidi="en-US"/>
        </w:rPr>
      </w:r>
    </w:p>
    <w:p>
      <w:pPr>
        <w:pStyle w:val="Standard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Standard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Standard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Standard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Standard"/>
        <w:spacing w:lineRule="auto" w:line="24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sz w:val="20"/>
          <w:szCs w:val="20"/>
          <w:lang w:val="pl-PL"/>
        </w:rPr>
        <w:t>* Wykonawca zobowiązany jest do wypełnienia i określenia wartości wszystkich pozycji określonych w niniejszym załączniku. Wymaga się wykazania zastosowanych składników cenotwórczych tj. stawki robocizny, kosztów pośrednich i zysku.</w:t>
      </w:r>
    </w:p>
    <w:sectPr>
      <w:footerReference w:type="default" r:id="rId3"/>
      <w:type w:val="nextPage"/>
      <w:pgSz w:w="11906" w:h="16838"/>
      <w:pgMar w:left="1134" w:right="1134" w:header="0" w:top="1134" w:footer="1134" w:bottom="21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rzypisdolny"/>
      <w:spacing w:before="240" w:after="120"/>
      <w:ind w:left="0" w:right="360" w:hanging="0"/>
      <w:jc w:val="center"/>
      <w:rPr/>
    </w:pPr>
    <w:r>
      <w:rPr>
        <w:rStyle w:val="Domylnaczcionkaakapitu1"/>
        <w:rFonts w:eastAsia="Times New Roman" w:cs="Calibri" w:ascii="Calibri" w:hAnsi="Calibri"/>
        <w:b/>
        <w:bCs/>
        <w:i/>
        <w:iCs/>
        <w:color w:val="00000A"/>
        <w:sz w:val="16"/>
        <w:szCs w:val="16"/>
        <w:shd w:fill="FFFFFF" w:val="clear"/>
        <w:lang w:bidi="ar-SA"/>
      </w:rPr>
      <w:t xml:space="preserve">BZP.271.7.2021  </w:t>
    </w:r>
    <w:r>
      <w:rPr>
        <w:rStyle w:val="Domylnaczcionkaakapitu3"/>
        <w:rFonts w:eastAsia="Times New Roman" w:cs="Calibri" w:ascii="Calibri" w:hAnsi="Calibri"/>
        <w:b/>
        <w:bCs/>
        <w:i/>
        <w:iCs/>
        <w:color w:val="000000"/>
        <w:sz w:val="16"/>
        <w:szCs w:val="16"/>
        <w:shd w:fill="FFFFFF" w:val="clear"/>
        <w:lang w:eastAsia="pl-PL" w:bidi="ar-SA"/>
      </w:rPr>
      <w:t>„Rozbudowa strefy aktywności gospodarczej w Andrychowie poprzez uzbrojenie nowych terenów inwestycyjnych oraz rozbudow</w:t>
    </w:r>
    <w:r>
      <w:rPr>
        <w:rStyle w:val="Domylnaczcionkaakapitu3"/>
        <w:rFonts w:eastAsia="Times New Roman" w:cs="Calibri" w:ascii="Calibri" w:hAnsi="Calibri"/>
        <w:b/>
        <w:bCs/>
        <w:i/>
        <w:iCs/>
        <w:color w:val="000000"/>
        <w:kern w:val="0"/>
        <w:sz w:val="16"/>
        <w:szCs w:val="16"/>
        <w:shd w:fill="FFFFFF" w:val="clear"/>
        <w:lang w:val="en-US" w:eastAsia="pl-PL" w:bidi="ar-SA"/>
      </w:rPr>
      <w:t>a</w:t>
    </w:r>
    <w:r>
      <w:rPr>
        <w:rStyle w:val="Domylnaczcionkaakapitu3"/>
        <w:rFonts w:eastAsia="Times New Roman" w:cs="Calibri" w:ascii="Calibri" w:hAnsi="Calibri"/>
        <w:b/>
        <w:bCs/>
        <w:i/>
        <w:iCs/>
        <w:color w:val="000000"/>
        <w:sz w:val="16"/>
        <w:szCs w:val="16"/>
        <w:shd w:fill="FFFFFF" w:val="clear"/>
        <w:lang w:eastAsia="pl-PL" w:bidi="ar-SA"/>
      </w:rPr>
      <w:t xml:space="preserve"> i przebudow</w:t>
    </w:r>
    <w:r>
      <w:rPr>
        <w:rStyle w:val="Domylnaczcionkaakapitu3"/>
        <w:rFonts w:eastAsia="Times New Roman" w:cs="Calibri" w:ascii="Calibri" w:hAnsi="Calibri"/>
        <w:b/>
        <w:bCs/>
        <w:i/>
        <w:iCs/>
        <w:color w:val="000000"/>
        <w:kern w:val="0"/>
        <w:sz w:val="16"/>
        <w:szCs w:val="16"/>
        <w:shd w:fill="FFFFFF" w:val="clear"/>
        <w:lang w:val="en-US" w:eastAsia="pl-PL" w:bidi="ar-SA"/>
      </w:rPr>
      <w:t>a</w:t>
    </w:r>
    <w:r>
      <w:rPr>
        <w:rStyle w:val="Domylnaczcionkaakapitu3"/>
        <w:rFonts w:eastAsia="Times New Roman" w:cs="Calibri" w:ascii="Calibri" w:hAnsi="Calibri"/>
        <w:b/>
        <w:bCs/>
        <w:i/>
        <w:iCs/>
        <w:color w:val="000000"/>
        <w:sz w:val="16"/>
        <w:szCs w:val="16"/>
        <w:shd w:fill="FFFFFF" w:val="clear"/>
        <w:lang w:eastAsia="pl-PL" w:bidi="ar-SA"/>
      </w:rPr>
      <w:t xml:space="preserve"> infrastruktury drogowej w strefie – projekt naprawczy”</w:t>
    </w:r>
    <w:r>
      <w:rPr>
        <w:rStyle w:val="Domylnaczcionkaakapitu1"/>
        <w:rFonts w:eastAsia="Times New Roman" w:cs="Calibri" w:ascii="Calibri" w:hAnsi="Calibri"/>
        <w:b/>
        <w:bCs/>
        <w:i/>
        <w:iCs/>
        <w:color w:val="00000A"/>
        <w:sz w:val="16"/>
        <w:szCs w:val="16"/>
        <w:shd w:fill="FFFFFF" w:val="clear"/>
        <w:lang w:bidi="ar-SA"/>
      </w:rPr>
      <w:t xml:space="preserve"> </w:t>
    </w:r>
  </w:p>
</w:ftr>
</file>

<file path=word/settings.xml><?xml version="1.0" encoding="utf-8"?>
<w:settings xmlns:w="http://schemas.openxmlformats.org/wordprocessingml/2006/main">
  <w:zoom w:percent="120"/>
  <w:displayBackgroundShape/>
  <w:embedSystemFonts/>
  <w:defaultTabStop w:val="706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00000A"/>
      <w:kern w:val="0"/>
      <w:sz w:val="24"/>
      <w:szCs w:val="24"/>
      <w:lang w:val="en-US" w:eastAsia="zh-CN" w:bidi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mylnaczcionkaakapitu1" w:customStyle="1">
    <w:name w:val="Domyślna czcionka akapitu1"/>
    <w:qFormat/>
    <w:rPr/>
  </w:style>
  <w:style w:type="character" w:styleId="Domylnaczcionkaakapitu3">
    <w:name w:val="Domyślna czcionka akapitu3"/>
    <w:qFormat/>
    <w:rPr/>
  </w:style>
  <w:style w:type="paragraph" w:styleId="Nagwek" w:customStyle="1">
    <w:name w:val="Nagłówek"/>
    <w:basedOn w:val="Normal"/>
    <w:next w:val="Tretekstu"/>
    <w:qFormat/>
    <w:pPr>
      <w:keepNext w:val="true"/>
      <w:widowControl w:val="false"/>
      <w:bidi w:val="0"/>
      <w:spacing w:before="240" w:after="120"/>
      <w:jc w:val="left"/>
    </w:pPr>
    <w:rPr>
      <w:rFonts w:ascii="Arial" w:hAnsi="Arial" w:eastAsia="Times New Roman" w:cs="Times New Roman"/>
      <w:color w:val="00000A"/>
      <w:sz w:val="28"/>
      <w:szCs w:val="28"/>
      <w:lang w:val="pl-PL" w:eastAsia="pl-PL" w:bidi="ar-SA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Normal"/>
    <w:pPr>
      <w:widowControl w:val="fals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0"/>
      <w:lang w:val="pl-PL" w:eastAsia="pl-PL" w:bidi="ar-S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 w:customStyle="1">
    <w:name w:val="Indeks"/>
    <w:basedOn w:val="Normal"/>
    <w:qFormat/>
    <w:pPr>
      <w:widowControl w:val="false"/>
      <w:suppressLineNumbers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0"/>
      <w:lang w:val="pl-PL" w:eastAsia="pl-PL" w:bidi="ar-SA"/>
    </w:rPr>
  </w:style>
  <w:style w:type="paragraph" w:styleId="Nagwek1" w:customStyle="1">
    <w:name w:val="Nagłówek1"/>
    <w:basedOn w:val="Normal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00000A"/>
      <w:kern w:val="0"/>
      <w:sz w:val="24"/>
      <w:szCs w:val="24"/>
      <w:lang w:val="en-US" w:eastAsia="zh-CN" w:bidi="en-US"/>
    </w:rPr>
  </w:style>
  <w:style w:type="paragraph" w:styleId="Textbody" w:customStyle="1">
    <w:name w:val="Text body"/>
    <w:basedOn w:val="Standard"/>
    <w:qFormat/>
    <w:pPr>
      <w:spacing w:before="0" w:after="120"/>
    </w:pPr>
    <w:rPr/>
  </w:style>
  <w:style w:type="paragraph" w:styleId="Legenda1" w:customStyle="1">
    <w:name w:val="Legenda1"/>
    <w:basedOn w:val="Standard"/>
    <w:qFormat/>
    <w:pPr>
      <w:suppressLineNumbers/>
      <w:spacing w:before="120" w:after="120"/>
    </w:pPr>
    <w:rPr>
      <w:i/>
      <w:iCs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Gwkaistopka">
    <w:name w:val="Główka i stopka"/>
    <w:basedOn w:val="Normal"/>
    <w:qFormat/>
    <w:pPr>
      <w:suppressLineNumbers/>
      <w:tabs>
        <w:tab w:val="clear" w:pos="706"/>
        <w:tab w:val="center" w:pos="4819" w:leader="none"/>
        <w:tab w:val="right" w:pos="9638" w:leader="none"/>
      </w:tabs>
    </w:pPr>
    <w:rPr/>
  </w:style>
  <w:style w:type="paragraph" w:styleId="Stopka">
    <w:name w:val="Footer"/>
    <w:basedOn w:val="Gwkaistopka"/>
    <w:pPr>
      <w:suppressLineNumbers/>
    </w:pPr>
    <w:rPr/>
  </w:style>
  <w:style w:type="paragraph" w:styleId="Przypisdolny">
    <w:name w:val="Footnote Text"/>
    <w:basedOn w:val="Normal"/>
    <w:next w:val="Textbody"/>
    <w:qFormat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Application>LibreOffice/7.1.1.2$Windows_x86 LibreOffice_project/fe0b08f4af1bacafe4c7ecc87ce55bb426164676</Application>
  <AppVersion>15.0000</AppVersion>
  <Pages>1</Pages>
  <Words>123</Words>
  <Characters>1009</Characters>
  <CharactersWithSpaces>1115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2020-03-31T17:47:00Z</dcterms:created>
  <dc:creator>Bogumiła Góra</dc:creator>
  <dc:description/>
  <dc:language>pl-PL</dc:language>
  <cp:lastModifiedBy/>
  <cp:lastPrinted>2021-03-19T11:09:14Z</cp:lastPrinted>
  <dcterms:modified xsi:type="dcterms:W3CDTF">2021-03-22T09:37:27Z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